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424B" w14:textId="20A66904" w:rsidR="00E44428" w:rsidRDefault="00571004">
      <w:hyperlink r:id="rId4" w:history="1">
        <w:r w:rsidRPr="00571004">
          <w:rPr>
            <w:rStyle w:val="Hyperlink"/>
          </w:rPr>
          <w:t>Intellect Design | Contextual Payments Processing</w:t>
        </w:r>
      </w:hyperlink>
    </w:p>
    <w:sectPr w:rsidR="00E444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CB"/>
    <w:rsid w:val="003268EF"/>
    <w:rsid w:val="003C7233"/>
    <w:rsid w:val="00571004"/>
    <w:rsid w:val="008215CB"/>
    <w:rsid w:val="008D3E36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3B47C-D7DD-47AC-9C71-BF79AA3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5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5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5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5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5C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5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5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5C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5C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5CB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5C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5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tellectdesign.com/pay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2025-09-11T06:36:00Z</dcterms:created>
  <dcterms:modified xsi:type="dcterms:W3CDTF">2025-09-11T06:37:00Z</dcterms:modified>
</cp:coreProperties>
</file>